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7266E">
        <w:rPr>
          <w:rFonts w:ascii="Arial" w:eastAsia="Times New Roman" w:hAnsi="Arial" w:cs="Arial"/>
          <w:b/>
          <w:color w:val="000000"/>
          <w:sz w:val="20"/>
          <w:szCs w:val="20"/>
        </w:rPr>
        <w:t>VIX: Corporate Governance Report of 2019</w:t>
      </w:r>
    </w:p>
    <w:p w:rsidR="005123FE" w:rsidRPr="00D7266E" w:rsidRDefault="005123FE" w:rsidP="005123FE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vi-VN"/>
        </w:rPr>
        <w:t>REPORT ON CORPORATE GOVERNANCE OF LISTING COMPANY</w:t>
      </w:r>
      <w:r w:rsidRPr="00D7266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highlight w:val="yellow"/>
        </w:rPr>
        <w:br/>
      </w:r>
      <w:r w:rsidRPr="00D7266E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6A4455">
        <w:rPr>
          <w:rFonts w:ascii="Arial" w:eastAsia="Times New Roman" w:hAnsi="Arial" w:cs="Arial"/>
          <w:b/>
          <w:color w:val="000000"/>
          <w:sz w:val="20"/>
          <w:szCs w:val="20"/>
        </w:rPr>
        <w:t>Year</w:t>
      </w:r>
      <w:r w:rsidRPr="00D7266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2019)</w:t>
      </w:r>
    </w:p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D7266E">
        <w:rPr>
          <w:rFonts w:ascii="Arial" w:eastAsia="Times New Roman" w:hAnsi="Arial" w:cs="Arial"/>
          <w:color w:val="000000"/>
          <w:sz w:val="20"/>
          <w:szCs w:val="20"/>
          <w:lang w:val="vi-VN"/>
        </w:rPr>
        <w:t>Name of listing company</w:t>
      </w:r>
      <w:r w:rsidRPr="00D7266E">
        <w:rPr>
          <w:rFonts w:ascii="Arial" w:eastAsia="Times New Roman" w:hAnsi="Arial" w:cs="Arial"/>
          <w:color w:val="000000"/>
          <w:sz w:val="20"/>
          <w:szCs w:val="20"/>
        </w:rPr>
        <w:t>: IB Securities Joint Stock Company</w:t>
      </w:r>
    </w:p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  <w:t>Address of headoffice: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Floor 8 – No.52 Le Dai Hanh Street – Le Dai Hanh Ward – Hai Ba Trung District – Hanoi City</w:t>
      </w:r>
    </w:p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color w:val="000000"/>
          <w:sz w:val="20"/>
          <w:szCs w:val="20"/>
          <w:lang w:val="vi-VN"/>
        </w:rPr>
        <w:t>- 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  <w:t>Telephone:</w:t>
      </w:r>
      <w:r w:rsidRPr="00D7266E">
        <w:rPr>
          <w:rFonts w:ascii="Arial" w:eastAsia="Times New Roman" w:hAnsi="Arial" w:cs="Arial"/>
          <w:color w:val="000000"/>
          <w:sz w:val="20"/>
          <w:szCs w:val="20"/>
        </w:rPr>
        <w:t xml:space="preserve"> 024 4456 8888 - </w:t>
      </w:r>
      <w:r w:rsidRPr="00D7266E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D7266E">
        <w:rPr>
          <w:rFonts w:ascii="Arial" w:eastAsia="Times New Roman" w:hAnsi="Arial" w:cs="Arial"/>
          <w:color w:val="000000"/>
          <w:sz w:val="20"/>
          <w:szCs w:val="20"/>
        </w:rPr>
        <w:t xml:space="preserve"> 024 3978 5379</w:t>
      </w:r>
      <w:r w:rsidR="008E4180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D7266E">
        <w:rPr>
          <w:rFonts w:ascii="Arial" w:eastAsia="Times New Roman" w:hAnsi="Arial" w:cs="Arial"/>
          <w:color w:val="000000"/>
          <w:sz w:val="20"/>
          <w:szCs w:val="20"/>
        </w:rPr>
        <w:t>80 -</w:t>
      </w:r>
      <w:r w:rsidRPr="00D7266E">
        <w:rPr>
          <w:rFonts w:ascii="Arial" w:eastAsia="Times New Roman" w:hAnsi="Arial" w:cs="Arial"/>
          <w:color w:val="000000"/>
          <w:sz w:val="20"/>
          <w:szCs w:val="20"/>
          <w:lang w:val="vi-VN"/>
        </w:rPr>
        <w:t>  Email:</w:t>
      </w:r>
      <w:r w:rsidRPr="00D726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5" w:history="1">
        <w:r w:rsidRPr="00D7266E">
          <w:rPr>
            <w:rStyle w:val="Hyperlink"/>
            <w:rFonts w:ascii="Arial" w:eastAsia="Times New Roman" w:hAnsi="Arial" w:cs="Arial"/>
            <w:sz w:val="20"/>
            <w:szCs w:val="20"/>
          </w:rPr>
          <w:t>info@ibsc.vn</w:t>
        </w:r>
      </w:hyperlink>
      <w:r w:rsidRPr="00D726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  <w:t>Charter capital: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VND 1,161,086,380,000</w:t>
      </w:r>
    </w:p>
    <w:p w:rsidR="005123F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  <w:t>Securities code: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VIX</w:t>
      </w:r>
    </w:p>
    <w:p w:rsidR="006A4455" w:rsidRPr="006A4455" w:rsidRDefault="006A4455" w:rsidP="006A4455">
      <w:pPr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A4455">
        <w:rPr>
          <w:rFonts w:ascii="Arial" w:hAnsi="Arial" w:cs="Arial"/>
          <w:b/>
          <w:sz w:val="20"/>
          <w:szCs w:val="20"/>
          <w:lang w:val="nl-NL"/>
        </w:rPr>
        <w:t xml:space="preserve">I. Activities of General Meeting of Shareholders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184"/>
        <w:gridCol w:w="1217"/>
        <w:gridCol w:w="5696"/>
      </w:tblGrid>
      <w:tr w:rsidR="006A4455" w:rsidRPr="006A4455" w:rsidTr="006A4455">
        <w:tc>
          <w:tcPr>
            <w:tcW w:w="481" w:type="dxa"/>
            <w:shd w:val="clear" w:color="auto" w:fill="auto"/>
          </w:tcPr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No</w:t>
            </w:r>
          </w:p>
        </w:tc>
        <w:tc>
          <w:tcPr>
            <w:tcW w:w="1332" w:type="dxa"/>
            <w:shd w:val="clear" w:color="auto" w:fill="auto"/>
          </w:tcPr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Resolutions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/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 xml:space="preserve">Decisions </w:t>
            </w:r>
          </w:p>
        </w:tc>
        <w:tc>
          <w:tcPr>
            <w:tcW w:w="944" w:type="dxa"/>
            <w:shd w:val="clear" w:color="auto" w:fill="auto"/>
          </w:tcPr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Date</w:t>
            </w:r>
          </w:p>
        </w:tc>
        <w:tc>
          <w:tcPr>
            <w:tcW w:w="6819" w:type="dxa"/>
            <w:shd w:val="clear" w:color="auto" w:fill="auto"/>
          </w:tcPr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Content</w:t>
            </w:r>
          </w:p>
        </w:tc>
      </w:tr>
      <w:tr w:rsidR="006A4455" w:rsidRPr="006A4455" w:rsidTr="006A4455">
        <w:tc>
          <w:tcPr>
            <w:tcW w:w="481" w:type="dxa"/>
            <w:shd w:val="clear" w:color="auto" w:fill="auto"/>
          </w:tcPr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01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DHCD</w:t>
            </w:r>
          </w:p>
        </w:tc>
        <w:tc>
          <w:tcPr>
            <w:tcW w:w="944" w:type="dxa"/>
            <w:shd w:val="clear" w:color="auto" w:fill="auto"/>
          </w:tcPr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10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04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19" w:type="dxa"/>
            <w:shd w:val="clear" w:color="auto" w:fill="auto"/>
          </w:tcPr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he Annual Ge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neral Meeting of Shareholders of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approved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the following contents: 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- Audited financial statements for 2018, reports on business results and profit distribution plan for 2018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- Report of the Board of Directors on corporate governance and performance of the Board of Directors, each member of the Board of Directors in 2018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- Report of the Board of Supervisors on the 2018 business results of the company, the report on the activities of the Board of Directors, General Director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-  Report on the activities of the Supervisory Board, each member of the Supervisory Board in 2018, the operation plan i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 2019 of the Supervisory Board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- Approve the remuneration and operating costs of the Board of Directors, the Board of Supervisors in 2018, plan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for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the remuneration and operating costs of the Board of Directors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and Board of Supervisors in 2019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Target of the b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usiness plan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of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2019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Selecting an a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uditing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unit to audit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Financial Statements in 2019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- Plan for increasing charter capital in 2019, a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mendment and supplement to the Company's Charter 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Approve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the contin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uation of guaranteed 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warranties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Approve the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business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of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derivative securities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Approving the Chairman of the Board concurrently holding 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lastRenderedPageBreak/>
              <w:t>the position of General Director of the Company</w:t>
            </w:r>
          </w:p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- Authorizing the Board to decide a number of contents under the authority of the General Meeting of Shareholders</w:t>
            </w:r>
          </w:p>
        </w:tc>
      </w:tr>
      <w:tr w:rsidR="006A4455" w:rsidRPr="006A4455" w:rsidTr="006A4455">
        <w:tc>
          <w:tcPr>
            <w:tcW w:w="481" w:type="dxa"/>
            <w:shd w:val="clear" w:color="auto" w:fill="auto"/>
          </w:tcPr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2" w:type="dxa"/>
            <w:shd w:val="clear" w:color="auto" w:fill="auto"/>
          </w:tcPr>
          <w:p w:rsidR="006A4455" w:rsidRPr="006A4455" w:rsidRDefault="006A4455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02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DHCD</w:t>
            </w:r>
          </w:p>
        </w:tc>
        <w:tc>
          <w:tcPr>
            <w:tcW w:w="944" w:type="dxa"/>
            <w:shd w:val="clear" w:color="auto" w:fill="auto"/>
          </w:tcPr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17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19" w:type="dxa"/>
            <w:shd w:val="clear" w:color="auto" w:fill="auto"/>
          </w:tcPr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The extraordinary General Meeting of Shareholders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approved the consulting shareholders via a ballot </w:t>
            </w:r>
          </w:p>
          <w:p w:rsid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- Approving the adjustment of the Business Plan 2019 targets</w:t>
            </w:r>
          </w:p>
          <w:p w:rsidR="006A4455" w:rsidRPr="006A4455" w:rsidRDefault="006A4455" w:rsidP="006A4455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>- A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uthorization</w:t>
            </w:r>
            <w:r w:rsidRPr="006A445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for the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Board of Directors to implement the related work</w:t>
            </w:r>
          </w:p>
        </w:tc>
      </w:tr>
    </w:tbl>
    <w:p w:rsidR="006A4455" w:rsidRPr="00D7266E" w:rsidRDefault="006A4455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I. </w:t>
      </w:r>
      <w:r w:rsidRPr="00D7266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vi-VN"/>
        </w:rPr>
        <w:t xml:space="preserve">Board of </w:t>
      </w:r>
      <w:r w:rsidRPr="00D7266E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Directors </w:t>
      </w:r>
    </w:p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</w:pPr>
      <w:r w:rsidRPr="00D7266E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  <w:t xml:space="preserve">Information about the members of Board of 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</w:rPr>
        <w:t>Directors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08"/>
        <w:gridCol w:w="1574"/>
        <w:gridCol w:w="1461"/>
        <w:gridCol w:w="1272"/>
        <w:gridCol w:w="1295"/>
        <w:gridCol w:w="1878"/>
      </w:tblGrid>
      <w:tr w:rsidR="005123FE" w:rsidRPr="00D7266E" w:rsidTr="00F01D05">
        <w:tc>
          <w:tcPr>
            <w:tcW w:w="588" w:type="dxa"/>
          </w:tcPr>
          <w:p w:rsidR="005123FE" w:rsidRPr="006A4455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color w:val="292929"/>
                <w:sz w:val="20"/>
              </w:rPr>
            </w:pPr>
            <w:r w:rsidRPr="006A4455">
              <w:rPr>
                <w:rFonts w:ascii="Arial" w:hAnsi="Arial" w:cs="Arial"/>
                <w:color w:val="292929"/>
                <w:sz w:val="20"/>
              </w:rPr>
              <w:t>No.</w:t>
            </w:r>
          </w:p>
        </w:tc>
        <w:tc>
          <w:tcPr>
            <w:tcW w:w="1508" w:type="dxa"/>
          </w:tcPr>
          <w:p w:rsidR="005123FE" w:rsidRPr="006A4455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color w:val="292929"/>
                <w:sz w:val="20"/>
              </w:rPr>
            </w:pPr>
            <w:r w:rsidRPr="006A4455">
              <w:rPr>
                <w:rFonts w:ascii="Arial" w:hAnsi="Arial" w:cs="Arial"/>
                <w:color w:val="292929"/>
                <w:sz w:val="20"/>
              </w:rPr>
              <w:t>Board of Directors’ members</w:t>
            </w:r>
          </w:p>
        </w:tc>
        <w:tc>
          <w:tcPr>
            <w:tcW w:w="1574" w:type="dxa"/>
          </w:tcPr>
          <w:p w:rsidR="005123FE" w:rsidRPr="006A4455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color w:val="292929"/>
                <w:sz w:val="20"/>
              </w:rPr>
            </w:pPr>
            <w:r w:rsidRPr="006A4455">
              <w:rPr>
                <w:rFonts w:ascii="Arial" w:hAnsi="Arial" w:cs="Arial"/>
                <w:color w:val="292929"/>
                <w:sz w:val="20"/>
              </w:rPr>
              <w:t>Position</w:t>
            </w:r>
          </w:p>
        </w:tc>
        <w:tc>
          <w:tcPr>
            <w:tcW w:w="1461" w:type="dxa"/>
          </w:tcPr>
          <w:p w:rsidR="005123FE" w:rsidRPr="006A4455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color w:val="292929"/>
                <w:sz w:val="20"/>
              </w:rPr>
            </w:pPr>
            <w:r w:rsidRPr="006A4455">
              <w:rPr>
                <w:rFonts w:ascii="Arial" w:hAnsi="Arial" w:cs="Arial"/>
                <w:color w:val="292929"/>
                <w:sz w:val="20"/>
              </w:rPr>
              <w:t>Day becoming</w:t>
            </w:r>
            <w:r w:rsidR="008E4180">
              <w:rPr>
                <w:rFonts w:ascii="Arial" w:hAnsi="Arial" w:cs="Arial"/>
                <w:color w:val="292929"/>
                <w:sz w:val="20"/>
              </w:rPr>
              <w:t>/</w:t>
            </w:r>
            <w:r w:rsidRPr="006A4455">
              <w:rPr>
                <w:rFonts w:ascii="Arial" w:hAnsi="Arial" w:cs="Arial"/>
                <w:color w:val="292929"/>
                <w:sz w:val="20"/>
              </w:rPr>
              <w:t xml:space="preserve">no longer </w:t>
            </w:r>
            <w:r w:rsidR="006A4455">
              <w:rPr>
                <w:rFonts w:ascii="Arial" w:hAnsi="Arial" w:cs="Arial"/>
                <w:color w:val="292929"/>
                <w:sz w:val="20"/>
              </w:rPr>
              <w:t xml:space="preserve">being </w:t>
            </w:r>
            <w:r w:rsidRPr="006A4455">
              <w:rPr>
                <w:rFonts w:ascii="Arial" w:hAnsi="Arial" w:cs="Arial"/>
                <w:color w:val="292929"/>
                <w:sz w:val="20"/>
              </w:rPr>
              <w:t>member of Board of Directors</w:t>
            </w:r>
          </w:p>
        </w:tc>
        <w:tc>
          <w:tcPr>
            <w:tcW w:w="1272" w:type="dxa"/>
          </w:tcPr>
          <w:p w:rsidR="005123FE" w:rsidRPr="006A4455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color w:val="292929"/>
                <w:sz w:val="20"/>
              </w:rPr>
            </w:pPr>
            <w:r w:rsidRPr="006A4455">
              <w:rPr>
                <w:rFonts w:ascii="Arial" w:hAnsi="Arial" w:cs="Arial"/>
                <w:color w:val="292929"/>
                <w:sz w:val="20"/>
              </w:rPr>
              <w:t>Number of attendance</w:t>
            </w:r>
          </w:p>
        </w:tc>
        <w:tc>
          <w:tcPr>
            <w:tcW w:w="1295" w:type="dxa"/>
          </w:tcPr>
          <w:p w:rsidR="005123FE" w:rsidRPr="006A4455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color w:val="292929"/>
                <w:sz w:val="20"/>
              </w:rPr>
            </w:pPr>
            <w:r w:rsidRPr="006A4455">
              <w:rPr>
                <w:rFonts w:ascii="Arial" w:hAnsi="Arial" w:cs="Arial"/>
                <w:color w:val="292929"/>
                <w:sz w:val="20"/>
              </w:rPr>
              <w:t>Percentage</w:t>
            </w:r>
          </w:p>
        </w:tc>
        <w:tc>
          <w:tcPr>
            <w:tcW w:w="1878" w:type="dxa"/>
          </w:tcPr>
          <w:p w:rsidR="005123FE" w:rsidRPr="006A4455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color w:val="292929"/>
                <w:sz w:val="20"/>
              </w:rPr>
            </w:pPr>
            <w:r w:rsidRPr="006A4455">
              <w:rPr>
                <w:rFonts w:ascii="Arial" w:hAnsi="Arial" w:cs="Arial"/>
                <w:color w:val="292929"/>
                <w:sz w:val="20"/>
              </w:rPr>
              <w:t>Reason for absence</w:t>
            </w:r>
          </w:p>
        </w:tc>
      </w:tr>
      <w:tr w:rsidR="005123FE" w:rsidRPr="00D7266E" w:rsidTr="00F01D05">
        <w:tc>
          <w:tcPr>
            <w:tcW w:w="588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</w:t>
            </w:r>
          </w:p>
        </w:tc>
        <w:tc>
          <w:tcPr>
            <w:tcW w:w="1508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Mrs. Nguyen Thi Tuyet </w:t>
            </w:r>
          </w:p>
        </w:tc>
        <w:tc>
          <w:tcPr>
            <w:tcW w:w="1574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Chair of Board of Directors from 05 July 2017 to now </w:t>
            </w:r>
          </w:p>
        </w:tc>
        <w:tc>
          <w:tcPr>
            <w:tcW w:w="1461" w:type="dxa"/>
            <w:vAlign w:val="center"/>
          </w:tcPr>
          <w:p w:rsidR="005123FE" w:rsidRPr="00D7266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25 May 2016 </w:t>
            </w:r>
          </w:p>
        </w:tc>
        <w:tc>
          <w:tcPr>
            <w:tcW w:w="1272" w:type="dxa"/>
            <w:vAlign w:val="center"/>
          </w:tcPr>
          <w:p w:rsidR="005123FE" w:rsidRPr="00D7266E" w:rsidRDefault="006A4455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  <w:r w:rsidR="008E4180">
              <w:rPr>
                <w:rFonts w:ascii="Arial" w:eastAsia="Times New Roman" w:hAnsi="Arial" w:cs="Arial"/>
                <w:color w:val="292929"/>
                <w:sz w:val="20"/>
              </w:rPr>
              <w:t>/</w:t>
            </w:r>
            <w:r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</w:p>
        </w:tc>
        <w:tc>
          <w:tcPr>
            <w:tcW w:w="1295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6A4455" w:rsidRPr="00D7266E" w:rsidTr="00AC1634">
        <w:tc>
          <w:tcPr>
            <w:tcW w:w="58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50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Mrs. Cao Thi Hong </w:t>
            </w:r>
          </w:p>
        </w:tc>
        <w:tc>
          <w:tcPr>
            <w:tcW w:w="1574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Directors </w:t>
            </w:r>
          </w:p>
        </w:tc>
        <w:tc>
          <w:tcPr>
            <w:tcW w:w="1461" w:type="dxa"/>
            <w:vAlign w:val="center"/>
          </w:tcPr>
          <w:p w:rsidR="006A4455" w:rsidRPr="00D7266E" w:rsidRDefault="006A4455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30 Aug 2014 </w:t>
            </w:r>
          </w:p>
        </w:tc>
        <w:tc>
          <w:tcPr>
            <w:tcW w:w="1272" w:type="dxa"/>
          </w:tcPr>
          <w:p w:rsidR="006A4455" w:rsidRDefault="006A4455" w:rsidP="006A4455">
            <w:pPr>
              <w:jc w:val="center"/>
            </w:pPr>
            <w:r w:rsidRPr="00C84094"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  <w:r w:rsidR="008E4180">
              <w:rPr>
                <w:rFonts w:ascii="Arial" w:eastAsia="Times New Roman" w:hAnsi="Arial" w:cs="Arial"/>
                <w:color w:val="292929"/>
                <w:sz w:val="20"/>
              </w:rPr>
              <w:t>/</w:t>
            </w:r>
            <w:r w:rsidRPr="00C84094"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</w:p>
        </w:tc>
        <w:tc>
          <w:tcPr>
            <w:tcW w:w="1295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6A4455" w:rsidRPr="00D7266E" w:rsidTr="00AC1634">
        <w:trPr>
          <w:trHeight w:val="79"/>
        </w:trPr>
        <w:tc>
          <w:tcPr>
            <w:tcW w:w="58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3</w:t>
            </w:r>
          </w:p>
        </w:tc>
        <w:tc>
          <w:tcPr>
            <w:tcW w:w="150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Mrs. Tran Thi Hong Ha </w:t>
            </w:r>
          </w:p>
        </w:tc>
        <w:tc>
          <w:tcPr>
            <w:tcW w:w="1574" w:type="dxa"/>
          </w:tcPr>
          <w:p w:rsidR="006A4455" w:rsidRPr="00D7266E" w:rsidRDefault="006A4455" w:rsidP="00512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66E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61" w:type="dxa"/>
            <w:vAlign w:val="center"/>
          </w:tcPr>
          <w:p w:rsidR="006A4455" w:rsidRPr="00D7266E" w:rsidRDefault="006A4455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24 April 2017 </w:t>
            </w:r>
          </w:p>
        </w:tc>
        <w:tc>
          <w:tcPr>
            <w:tcW w:w="1272" w:type="dxa"/>
          </w:tcPr>
          <w:p w:rsidR="006A4455" w:rsidRDefault="006A4455" w:rsidP="006A4455">
            <w:pPr>
              <w:jc w:val="center"/>
            </w:pPr>
            <w:r w:rsidRPr="00C84094"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  <w:r w:rsidR="008E4180">
              <w:rPr>
                <w:rFonts w:ascii="Arial" w:eastAsia="Times New Roman" w:hAnsi="Arial" w:cs="Arial"/>
                <w:color w:val="292929"/>
                <w:sz w:val="20"/>
              </w:rPr>
              <w:t>/</w:t>
            </w:r>
            <w:r w:rsidRPr="00C84094"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</w:p>
        </w:tc>
        <w:tc>
          <w:tcPr>
            <w:tcW w:w="1295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6A4455" w:rsidRPr="00D7266E" w:rsidTr="00AC1634">
        <w:tc>
          <w:tcPr>
            <w:tcW w:w="58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4</w:t>
            </w:r>
          </w:p>
        </w:tc>
        <w:tc>
          <w:tcPr>
            <w:tcW w:w="150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Mr. Nguyen Tuan Dung </w:t>
            </w:r>
          </w:p>
        </w:tc>
        <w:tc>
          <w:tcPr>
            <w:tcW w:w="1574" w:type="dxa"/>
          </w:tcPr>
          <w:p w:rsidR="006A4455" w:rsidRPr="00D7266E" w:rsidRDefault="006A4455" w:rsidP="00512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66E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61" w:type="dxa"/>
            <w:vAlign w:val="center"/>
          </w:tcPr>
          <w:p w:rsidR="006A4455" w:rsidRPr="00D7266E" w:rsidRDefault="006A4455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17 July 2017 </w:t>
            </w:r>
          </w:p>
        </w:tc>
        <w:tc>
          <w:tcPr>
            <w:tcW w:w="1272" w:type="dxa"/>
          </w:tcPr>
          <w:p w:rsidR="006A4455" w:rsidRDefault="006A4455" w:rsidP="006A4455">
            <w:pPr>
              <w:jc w:val="center"/>
            </w:pPr>
            <w:r w:rsidRPr="00C84094"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  <w:r w:rsidR="008E4180">
              <w:rPr>
                <w:rFonts w:ascii="Arial" w:eastAsia="Times New Roman" w:hAnsi="Arial" w:cs="Arial"/>
                <w:color w:val="292929"/>
                <w:sz w:val="20"/>
              </w:rPr>
              <w:t>/</w:t>
            </w:r>
            <w:r w:rsidRPr="00C84094"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</w:p>
        </w:tc>
        <w:tc>
          <w:tcPr>
            <w:tcW w:w="1295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6A4455" w:rsidRPr="00D7266E" w:rsidTr="00AC1634">
        <w:tc>
          <w:tcPr>
            <w:tcW w:w="58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5</w:t>
            </w:r>
          </w:p>
        </w:tc>
        <w:tc>
          <w:tcPr>
            <w:tcW w:w="150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Mr. Phi Anh Tuan </w:t>
            </w:r>
          </w:p>
        </w:tc>
        <w:tc>
          <w:tcPr>
            <w:tcW w:w="1574" w:type="dxa"/>
          </w:tcPr>
          <w:p w:rsidR="006A4455" w:rsidRPr="00D7266E" w:rsidRDefault="006A4455" w:rsidP="00512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66E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61" w:type="dxa"/>
            <w:vAlign w:val="center"/>
          </w:tcPr>
          <w:p w:rsidR="006A4455" w:rsidRPr="00D7266E" w:rsidRDefault="006A4455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17 April 2018</w:t>
            </w:r>
          </w:p>
        </w:tc>
        <w:tc>
          <w:tcPr>
            <w:tcW w:w="1272" w:type="dxa"/>
          </w:tcPr>
          <w:p w:rsidR="006A4455" w:rsidRDefault="006A4455" w:rsidP="006A4455">
            <w:pPr>
              <w:jc w:val="center"/>
            </w:pPr>
            <w:r w:rsidRPr="00C84094"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  <w:r w:rsidR="008E4180">
              <w:rPr>
                <w:rFonts w:ascii="Arial" w:eastAsia="Times New Roman" w:hAnsi="Arial" w:cs="Arial"/>
                <w:color w:val="292929"/>
                <w:sz w:val="20"/>
              </w:rPr>
              <w:t>/</w:t>
            </w:r>
            <w:r w:rsidRPr="00C84094">
              <w:rPr>
                <w:rFonts w:ascii="Arial" w:eastAsia="Times New Roman" w:hAnsi="Arial" w:cs="Arial"/>
                <w:color w:val="292929"/>
                <w:sz w:val="20"/>
              </w:rPr>
              <w:t>15</w:t>
            </w:r>
          </w:p>
        </w:tc>
        <w:tc>
          <w:tcPr>
            <w:tcW w:w="1295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6A4455" w:rsidRPr="00D7266E" w:rsidRDefault="006A4455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</w:tbl>
    <w:p w:rsidR="00AA410D" w:rsidRPr="00AA410D" w:rsidRDefault="00AA410D" w:rsidP="00AA410D">
      <w:pPr>
        <w:spacing w:after="160" w:line="360" w:lineRule="auto"/>
        <w:jc w:val="both"/>
        <w:rPr>
          <w:rFonts w:ascii="Arial" w:eastAsia="Times New Roman" w:hAnsi="Arial" w:cs="Arial"/>
          <w:sz w:val="20"/>
          <w:szCs w:val="20"/>
          <w:lang w:val="vi-VN"/>
        </w:rPr>
      </w:pPr>
      <w:r w:rsidRPr="00AA410D">
        <w:rPr>
          <w:rFonts w:ascii="Arial" w:eastAsia="Times New Roman" w:hAnsi="Arial" w:cs="Arial"/>
          <w:sz w:val="20"/>
          <w:szCs w:val="20"/>
          <w:lang w:val="vi-VN"/>
        </w:rPr>
        <w:t xml:space="preserve">2. Supervision operation of Board of Directors on </w:t>
      </w:r>
      <w:r>
        <w:rPr>
          <w:rFonts w:ascii="Arial" w:eastAsia="Times New Roman" w:hAnsi="Arial" w:cs="Arial"/>
          <w:sz w:val="20"/>
          <w:szCs w:val="20"/>
        </w:rPr>
        <w:t xml:space="preserve">Board of Management </w:t>
      </w:r>
      <w:r w:rsidRPr="00AA410D">
        <w:rPr>
          <w:rFonts w:ascii="Arial" w:eastAsia="Times New Roman" w:hAnsi="Arial" w:cs="Arial"/>
          <w:sz w:val="20"/>
          <w:szCs w:val="20"/>
          <w:lang w:val="vi-VN"/>
        </w:rPr>
        <w:t xml:space="preserve">  </w:t>
      </w:r>
    </w:p>
    <w:p w:rsidR="00AA410D" w:rsidRPr="00AA410D" w:rsidRDefault="00AA410D" w:rsidP="00AA410D">
      <w:pPr>
        <w:spacing w:after="160" w:line="360" w:lineRule="auto"/>
        <w:jc w:val="both"/>
        <w:rPr>
          <w:rFonts w:ascii="Arial" w:eastAsia="Times New Roman" w:hAnsi="Arial" w:cs="Arial"/>
          <w:sz w:val="20"/>
          <w:szCs w:val="20"/>
          <w:lang w:val="vi-VN"/>
        </w:rPr>
      </w:pPr>
      <w:r w:rsidRPr="00AA410D">
        <w:rPr>
          <w:rFonts w:ascii="Arial" w:eastAsia="Times New Roman" w:hAnsi="Arial" w:cs="Arial"/>
          <w:sz w:val="20"/>
          <w:szCs w:val="20"/>
          <w:lang w:val="vi-VN"/>
        </w:rPr>
        <w:t>3. Activities of the subsidiaries of Board of Directors</w:t>
      </w:r>
    </w:p>
    <w:p w:rsidR="00AA410D" w:rsidRPr="00AA410D" w:rsidRDefault="00AA410D" w:rsidP="00AA410D">
      <w:pPr>
        <w:spacing w:after="160" w:line="360" w:lineRule="auto"/>
        <w:jc w:val="both"/>
        <w:rPr>
          <w:rFonts w:ascii="Arial" w:eastAsia="Times New Roman" w:hAnsi="Arial" w:cs="Arial"/>
          <w:sz w:val="20"/>
          <w:szCs w:val="20"/>
          <w:lang w:val="vi-VN"/>
        </w:rPr>
      </w:pPr>
      <w:r w:rsidRPr="00AA410D">
        <w:rPr>
          <w:rFonts w:ascii="Arial" w:eastAsia="Times New Roman" w:hAnsi="Arial" w:cs="Arial"/>
          <w:sz w:val="20"/>
          <w:szCs w:val="20"/>
          <w:lang w:val="vi-VN"/>
        </w:rPr>
        <w:lastRenderedPageBreak/>
        <w:t>4. Board Resolutions</w:t>
      </w:r>
      <w:r w:rsidR="008E4180">
        <w:rPr>
          <w:rFonts w:ascii="Arial" w:eastAsia="Times New Roman" w:hAnsi="Arial" w:cs="Arial"/>
          <w:sz w:val="20"/>
          <w:szCs w:val="20"/>
          <w:lang w:val="vi-VN"/>
        </w:rPr>
        <w:t>/</w:t>
      </w:r>
      <w:r w:rsidRPr="00AA410D">
        <w:rPr>
          <w:rFonts w:ascii="Arial" w:eastAsia="Times New Roman" w:hAnsi="Arial" w:cs="Arial"/>
          <w:sz w:val="20"/>
          <w:szCs w:val="20"/>
          <w:lang w:val="vi-VN"/>
        </w:rPr>
        <w:t xml:space="preserve">Decisions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326"/>
        <w:gridCol w:w="1418"/>
        <w:gridCol w:w="7371"/>
      </w:tblGrid>
      <w:tr w:rsidR="00AA410D" w:rsidRPr="00AA410D" w:rsidTr="008E4180">
        <w:tc>
          <w:tcPr>
            <w:tcW w:w="483" w:type="dxa"/>
            <w:shd w:val="clear" w:color="auto" w:fill="auto"/>
          </w:tcPr>
          <w:p w:rsidR="00AA410D" w:rsidRPr="00AA410D" w:rsidRDefault="00AA410D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</w:pPr>
            <w:r w:rsidRPr="00AA410D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No</w:t>
            </w:r>
          </w:p>
        </w:tc>
        <w:tc>
          <w:tcPr>
            <w:tcW w:w="1326" w:type="dxa"/>
            <w:shd w:val="clear" w:color="auto" w:fill="auto"/>
          </w:tcPr>
          <w:p w:rsidR="00AA410D" w:rsidRPr="00AA410D" w:rsidRDefault="00AA410D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</w:pPr>
            <w:r w:rsidRPr="00AA410D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Resolutions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/</w:t>
            </w:r>
            <w:r w:rsidRPr="00AA410D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 xml:space="preserve">Decisions </w:t>
            </w:r>
          </w:p>
        </w:tc>
        <w:tc>
          <w:tcPr>
            <w:tcW w:w="1418" w:type="dxa"/>
            <w:shd w:val="clear" w:color="auto" w:fill="auto"/>
          </w:tcPr>
          <w:p w:rsidR="00AA410D" w:rsidRPr="00AA410D" w:rsidRDefault="00AA410D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</w:pPr>
            <w:r w:rsidRPr="00AA410D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Date</w:t>
            </w:r>
          </w:p>
        </w:tc>
        <w:tc>
          <w:tcPr>
            <w:tcW w:w="7371" w:type="dxa"/>
            <w:shd w:val="clear" w:color="auto" w:fill="auto"/>
          </w:tcPr>
          <w:p w:rsidR="00AA410D" w:rsidRPr="00AA410D" w:rsidRDefault="00AA410D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</w:pPr>
            <w:r w:rsidRPr="00AA410D">
              <w:rPr>
                <w:rFonts w:ascii="Arial" w:eastAsia="Times New Roman" w:hAnsi="Arial"/>
                <w:color w:val="000000"/>
                <w:sz w:val="20"/>
                <w:szCs w:val="20"/>
                <w:lang w:val="vi-VN"/>
              </w:rPr>
              <w:t>Content</w:t>
            </w:r>
          </w:p>
        </w:tc>
      </w:tr>
      <w:tr w:rsidR="00AA410D" w:rsidRPr="00AA410D" w:rsidTr="008E4180">
        <w:tc>
          <w:tcPr>
            <w:tcW w:w="483" w:type="dxa"/>
            <w:shd w:val="clear" w:color="auto" w:fill="auto"/>
          </w:tcPr>
          <w:p w:rsidR="00AA410D" w:rsidRPr="00AA410D" w:rsidRDefault="00AA410D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AA410D" w:rsidRPr="00AA410D" w:rsidRDefault="005E10D2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01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AA410D" w:rsidRPr="00AA410D" w:rsidRDefault="005E10D2" w:rsidP="005E10D2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01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AA410D" w:rsidRPr="00AA410D" w:rsidRDefault="00170825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- Appr</w:t>
            </w:r>
            <w:r w:rsidR="001441C2">
              <w:rPr>
                <w:rFonts w:ascii="Arial" w:eastAsia="Times New Roman" w:hAnsi="Arial"/>
                <w:color w:val="000000"/>
                <w:sz w:val="20"/>
                <w:szCs w:val="20"/>
              </w:rPr>
              <w:t>ove the results of private placement of shares, amending and supplementing the Charter of the Company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02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01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02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1441C2" w:rsidP="001441C2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- Approve the results of private placement of bonds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03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15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02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1441C2" w:rsidP="001441C2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- Approve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using shares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as collateral for bonds issued on December 6, 2018 of IBSC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04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26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02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9415AE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>Convene the Annual General Meeting of Shareholders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of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05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25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03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9415AE" w:rsidP="009415AE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- Approve the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agenda and documents of the 2019 Annual General Meeting of Shareholders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25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03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9415AE" w:rsidP="009415AE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>Establishment of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 s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>hareholder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status i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nspection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board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07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04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9415AE" w:rsidP="009415AE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>Deploying the plan of issuing shares to pay dividend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of</w:t>
            </w:r>
            <w:r w:rsidRPr="00170825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2019 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08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22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04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9415AE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</w:t>
            </w:r>
            <w:r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Assignment of work and remuneration of the members of the Board of Directors and the Supervisory Board  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10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05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9415AE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Closing </w:t>
            </w:r>
            <w:r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>list of share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holders to pay share dividend of</w:t>
            </w:r>
            <w:r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by shares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10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5E10D2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05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07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9415AE" w:rsidP="009415AE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</w:t>
            </w:r>
            <w:r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>Approve the results of issuing shares to pay dividend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of 2018;</w:t>
            </w:r>
            <w:r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amend and supplement the Company's Charter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11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06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08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42684F" w:rsidP="0042684F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- Approve</w:t>
            </w:r>
            <w:r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the selection of </w:t>
            </w:r>
            <w:r w:rsidR="002C5AD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an </w:t>
            </w:r>
            <w:r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>auditing</w:t>
            </w:r>
            <w:r w:rsidR="002C5AD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unit</w:t>
            </w:r>
            <w:r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="002C5AD2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to </w:t>
            </w:r>
            <w:r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>financial statements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12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NQ -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lastRenderedPageBreak/>
              <w:t>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lastRenderedPageBreak/>
              <w:t>30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08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243C5E" w:rsidP="00243C5E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Consulting shareholders via a ballot 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13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30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08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243C5E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Approve the contents of materials consulting shareholders via a ballot  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14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23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243C5E" w:rsidP="00243C5E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- Establishment of a vote checking board for consulting shareholders via a ballot 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15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5E10D2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11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10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106D8E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- Approve the plan on repurchase of a part of bonds before maturity of IBSC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16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5E10D2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05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11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5E10D2" w:rsidRPr="00AA410D" w:rsidRDefault="00106D8E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- Approve the plan on borrowing loans at Woori Bank Co., Ltd – Ho Chi Minh Branch</w:t>
            </w:r>
          </w:p>
        </w:tc>
      </w:tr>
      <w:tr w:rsidR="005E10D2" w:rsidRPr="00AA410D" w:rsidTr="008E4180">
        <w:tc>
          <w:tcPr>
            <w:tcW w:w="483" w:type="dxa"/>
            <w:shd w:val="clear" w:color="auto" w:fill="auto"/>
          </w:tcPr>
          <w:p w:rsidR="005E10D2" w:rsidRPr="00AA410D" w:rsidRDefault="005E10D2" w:rsidP="00AA410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5E10D2" w:rsidRPr="00AA410D" w:rsidRDefault="005E10D2" w:rsidP="002D3B8C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17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2019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IBSC</w:t>
            </w:r>
            <w:r w:rsidR="008E4180">
              <w:rPr>
                <w:rFonts w:ascii="Arial" w:eastAsia="Times New Roman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NQ - HDQT</w:t>
            </w:r>
          </w:p>
        </w:tc>
        <w:tc>
          <w:tcPr>
            <w:tcW w:w="1418" w:type="dxa"/>
            <w:shd w:val="clear" w:color="auto" w:fill="auto"/>
          </w:tcPr>
          <w:p w:rsidR="005E10D2" w:rsidRPr="00AA410D" w:rsidRDefault="005E10D2" w:rsidP="00AA410D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5E10D2" w:rsidRPr="00AA410D" w:rsidRDefault="00106D8E" w:rsidP="00106D8E">
            <w:pPr>
              <w:spacing w:before="120" w:after="120" w:line="259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-</w:t>
            </w:r>
            <w:r w:rsidR="009415AE" w:rsidRPr="009415A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 Approve the Company's participation in interest-derivative transactions throughout Techcombank 9</w:t>
            </w:r>
          </w:p>
        </w:tc>
      </w:tr>
    </w:tbl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</w:t>
      </w:r>
      <w:r w:rsidRPr="00D7266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vi-VN"/>
        </w:rPr>
        <w:t>Board </w:t>
      </w:r>
      <w:r w:rsidRPr="00D7266E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of Supervisors </w:t>
      </w:r>
    </w:p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</w:pPr>
      <w:r w:rsidRPr="00D7266E">
        <w:rPr>
          <w:rFonts w:ascii="Arial" w:eastAsia="Times New Roman" w:hAnsi="Arial" w:cs="Arial"/>
          <w:color w:val="000000"/>
          <w:sz w:val="20"/>
          <w:szCs w:val="20"/>
          <w:lang w:val="vi-VN"/>
        </w:rPr>
        <w:t>1</w:t>
      </w:r>
      <w:r w:rsidRPr="00D7266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  <w:t xml:space="preserve">Information about members of </w:t>
      </w:r>
      <w:r w:rsidRPr="00D7266E">
        <w:rPr>
          <w:rFonts w:ascii="Arial" w:eastAsia="Times New Roman" w:hAnsi="Arial" w:cs="Arial"/>
          <w:bCs/>
          <w:iCs/>
          <w:color w:val="000000"/>
          <w:sz w:val="20"/>
          <w:szCs w:val="20"/>
          <w:lang w:val="vi-VN"/>
        </w:rPr>
        <w:t>Board </w:t>
      </w:r>
      <w:r w:rsidRPr="00D7266E">
        <w:rPr>
          <w:rFonts w:ascii="Arial" w:eastAsia="Times New Roman" w:hAnsi="Arial" w:cs="Arial"/>
          <w:bCs/>
          <w:iCs/>
          <w:color w:val="000000"/>
          <w:sz w:val="20"/>
          <w:szCs w:val="20"/>
        </w:rPr>
        <w:t>of Supervisors</w:t>
      </w:r>
      <w:r w:rsidRPr="00D7266E">
        <w:rPr>
          <w:rFonts w:ascii="Arial" w:eastAsia="Times New Roman" w:hAnsi="Arial" w:cs="Arial"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682"/>
        <w:gridCol w:w="1653"/>
        <w:gridCol w:w="1461"/>
        <w:gridCol w:w="1272"/>
        <w:gridCol w:w="1295"/>
        <w:gridCol w:w="1633"/>
      </w:tblGrid>
      <w:tr w:rsidR="005123FE" w:rsidRPr="00D7266E" w:rsidTr="00F01D05">
        <w:tc>
          <w:tcPr>
            <w:tcW w:w="580" w:type="dxa"/>
          </w:tcPr>
          <w:p w:rsidR="005123FE" w:rsidRPr="00106D8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8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1682" w:type="dxa"/>
          </w:tcPr>
          <w:p w:rsidR="005123FE" w:rsidRPr="00106D8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8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 xml:space="preserve">Members of </w:t>
            </w:r>
            <w:r w:rsidRPr="00106D8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vi-VN"/>
              </w:rPr>
              <w:t>Board </w:t>
            </w:r>
            <w:r w:rsidRPr="00106D8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of Supervisors</w:t>
            </w:r>
          </w:p>
        </w:tc>
        <w:tc>
          <w:tcPr>
            <w:tcW w:w="1653" w:type="dxa"/>
          </w:tcPr>
          <w:p w:rsidR="005123FE" w:rsidRPr="00106D8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8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Position</w:t>
            </w:r>
          </w:p>
        </w:tc>
        <w:tc>
          <w:tcPr>
            <w:tcW w:w="1461" w:type="dxa"/>
          </w:tcPr>
          <w:p w:rsidR="005123FE" w:rsidRPr="00106D8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8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 xml:space="preserve">Day becoming/no longer member of </w:t>
            </w:r>
            <w:r w:rsidRPr="00106D8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vi-VN"/>
              </w:rPr>
              <w:t>Board </w:t>
            </w:r>
            <w:r w:rsidRPr="00106D8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of Supervisors</w:t>
            </w:r>
          </w:p>
        </w:tc>
        <w:tc>
          <w:tcPr>
            <w:tcW w:w="1272" w:type="dxa"/>
          </w:tcPr>
          <w:p w:rsidR="005123FE" w:rsidRPr="00106D8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8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Number of attendance</w:t>
            </w:r>
          </w:p>
        </w:tc>
        <w:tc>
          <w:tcPr>
            <w:tcW w:w="1295" w:type="dxa"/>
          </w:tcPr>
          <w:p w:rsidR="005123FE" w:rsidRPr="00106D8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D8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1633" w:type="dxa"/>
          </w:tcPr>
          <w:p w:rsidR="005123FE" w:rsidRPr="00106D8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106D8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Reason for absence</w:t>
            </w:r>
          </w:p>
        </w:tc>
      </w:tr>
      <w:tr w:rsidR="005123FE" w:rsidRPr="00D7266E" w:rsidTr="00F01D05">
        <w:tc>
          <w:tcPr>
            <w:tcW w:w="580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</w:t>
            </w:r>
          </w:p>
        </w:tc>
        <w:tc>
          <w:tcPr>
            <w:tcW w:w="1682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Mrs. Trinh Thi My Le </w:t>
            </w:r>
          </w:p>
        </w:tc>
        <w:tc>
          <w:tcPr>
            <w:tcW w:w="1653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Head of Board of Supervisors </w:t>
            </w:r>
          </w:p>
        </w:tc>
        <w:tc>
          <w:tcPr>
            <w:tcW w:w="1461" w:type="dxa"/>
            <w:vAlign w:val="center"/>
          </w:tcPr>
          <w:p w:rsidR="005123FE" w:rsidRPr="00D7266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25 April 2016 </w:t>
            </w:r>
          </w:p>
        </w:tc>
        <w:tc>
          <w:tcPr>
            <w:tcW w:w="1272" w:type="dxa"/>
          </w:tcPr>
          <w:p w:rsidR="005123FE" w:rsidRPr="00D7266E" w:rsidRDefault="00106D8E" w:rsidP="00106D8E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  <w:r w:rsidR="008E4180">
              <w:rPr>
                <w:rFonts w:ascii="Arial" w:eastAsia="Times New Roman" w:hAnsi="Arial" w:cs="Arial"/>
                <w:color w:val="292929"/>
                <w:sz w:val="20"/>
              </w:rPr>
              <w:t>/</w:t>
            </w:r>
            <w:r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295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633" w:type="dxa"/>
          </w:tcPr>
          <w:p w:rsidR="005123FE" w:rsidRPr="00D7266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106D8E" w:rsidRPr="00D7266E" w:rsidTr="00F01D05">
        <w:tc>
          <w:tcPr>
            <w:tcW w:w="580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682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Mrs. Nguyen Thi Duyen </w:t>
            </w:r>
          </w:p>
        </w:tc>
        <w:tc>
          <w:tcPr>
            <w:tcW w:w="1653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Supervisors </w:t>
            </w:r>
          </w:p>
        </w:tc>
        <w:tc>
          <w:tcPr>
            <w:tcW w:w="1461" w:type="dxa"/>
            <w:vAlign w:val="center"/>
          </w:tcPr>
          <w:p w:rsidR="00106D8E" w:rsidRPr="00D7266E" w:rsidRDefault="00106D8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17 April 2018 </w:t>
            </w:r>
          </w:p>
        </w:tc>
        <w:tc>
          <w:tcPr>
            <w:tcW w:w="1272" w:type="dxa"/>
          </w:tcPr>
          <w:p w:rsidR="00106D8E" w:rsidRDefault="00106D8E" w:rsidP="00106D8E">
            <w:pPr>
              <w:jc w:val="center"/>
            </w:pPr>
            <w:r w:rsidRPr="0005446B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  <w:r w:rsidR="008E4180">
              <w:rPr>
                <w:rFonts w:ascii="Arial" w:eastAsia="Times New Roman" w:hAnsi="Arial" w:cs="Arial"/>
                <w:color w:val="292929"/>
                <w:sz w:val="20"/>
              </w:rPr>
              <w:t>/</w:t>
            </w:r>
            <w:r w:rsidRPr="0005446B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295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633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106D8E" w:rsidRPr="00D7266E" w:rsidTr="00F01D05">
        <w:trPr>
          <w:trHeight w:val="79"/>
        </w:trPr>
        <w:tc>
          <w:tcPr>
            <w:tcW w:w="580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3</w:t>
            </w:r>
          </w:p>
        </w:tc>
        <w:tc>
          <w:tcPr>
            <w:tcW w:w="1682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 xml:space="preserve">Mrs. Doan Thi Huong </w:t>
            </w:r>
          </w:p>
        </w:tc>
        <w:tc>
          <w:tcPr>
            <w:tcW w:w="1653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Member of Board of Supervisors</w:t>
            </w:r>
          </w:p>
        </w:tc>
        <w:tc>
          <w:tcPr>
            <w:tcW w:w="1461" w:type="dxa"/>
            <w:vAlign w:val="center"/>
          </w:tcPr>
          <w:p w:rsidR="00106D8E" w:rsidRPr="00D7266E" w:rsidRDefault="00106D8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17 April 2018</w:t>
            </w:r>
          </w:p>
        </w:tc>
        <w:tc>
          <w:tcPr>
            <w:tcW w:w="1272" w:type="dxa"/>
          </w:tcPr>
          <w:p w:rsidR="00106D8E" w:rsidRDefault="00106D8E" w:rsidP="00106D8E">
            <w:pPr>
              <w:jc w:val="center"/>
            </w:pPr>
            <w:r w:rsidRPr="0005446B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  <w:r w:rsidR="008E4180">
              <w:rPr>
                <w:rFonts w:ascii="Arial" w:eastAsia="Times New Roman" w:hAnsi="Arial" w:cs="Arial"/>
                <w:color w:val="292929"/>
                <w:sz w:val="20"/>
              </w:rPr>
              <w:t>/</w:t>
            </w:r>
            <w:r w:rsidRPr="0005446B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295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D7266E"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633" w:type="dxa"/>
          </w:tcPr>
          <w:p w:rsidR="00106D8E" w:rsidRPr="00D7266E" w:rsidRDefault="00106D8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</w:tbl>
    <w:p w:rsidR="00106D8E" w:rsidRPr="00106D8E" w:rsidRDefault="00106D8E" w:rsidP="00106D8E">
      <w:pPr>
        <w:tabs>
          <w:tab w:val="num" w:pos="720"/>
        </w:tabs>
        <w:spacing w:after="160" w:line="360" w:lineRule="auto"/>
        <w:jc w:val="both"/>
        <w:rPr>
          <w:rFonts w:ascii="Arial" w:eastAsia="Times New Roman" w:hAnsi="Arial" w:cs="Arial"/>
          <w:sz w:val="20"/>
          <w:szCs w:val="20"/>
          <w:lang w:val="vi-VN"/>
        </w:rPr>
      </w:pPr>
      <w:r w:rsidRPr="00106D8E">
        <w:rPr>
          <w:rFonts w:ascii="Arial" w:eastAsia="Times New Roman" w:hAnsi="Arial" w:cs="Arial"/>
          <w:sz w:val="20"/>
          <w:szCs w:val="20"/>
          <w:lang w:val="vi-VN"/>
        </w:rPr>
        <w:t>2. Supervision operation of Supervisory Board on Board of Directors, Board of Management and shareholders</w:t>
      </w:r>
    </w:p>
    <w:p w:rsidR="00106D8E" w:rsidRPr="00106D8E" w:rsidRDefault="00106D8E" w:rsidP="00106D8E">
      <w:pPr>
        <w:tabs>
          <w:tab w:val="num" w:pos="720"/>
        </w:tabs>
        <w:spacing w:after="160" w:line="360" w:lineRule="auto"/>
        <w:jc w:val="both"/>
        <w:rPr>
          <w:rFonts w:ascii="Arial" w:eastAsia="Times New Roman" w:hAnsi="Arial" w:cs="Arial"/>
          <w:sz w:val="20"/>
          <w:szCs w:val="20"/>
          <w:lang w:val="vi-VN"/>
        </w:rPr>
      </w:pPr>
      <w:r w:rsidRPr="00106D8E">
        <w:rPr>
          <w:rFonts w:ascii="Arial" w:eastAsia="Times New Roman" w:hAnsi="Arial" w:cs="Arial"/>
          <w:sz w:val="20"/>
          <w:szCs w:val="20"/>
          <w:lang w:val="vi-VN"/>
        </w:rPr>
        <w:t>3. Coordination between Supervisory Board and Board of Directors, Board of Management and other managers</w:t>
      </w:r>
    </w:p>
    <w:p w:rsidR="00106D8E" w:rsidRPr="00106D8E" w:rsidRDefault="00106D8E" w:rsidP="00106D8E">
      <w:pPr>
        <w:tabs>
          <w:tab w:val="num" w:pos="720"/>
        </w:tabs>
        <w:spacing w:after="160" w:line="360" w:lineRule="auto"/>
        <w:jc w:val="both"/>
        <w:rPr>
          <w:rFonts w:ascii="Arial" w:eastAsia="Times New Roman" w:hAnsi="Arial" w:cs="Arial"/>
          <w:sz w:val="20"/>
          <w:szCs w:val="20"/>
          <w:lang w:val="vi-VN"/>
        </w:rPr>
      </w:pPr>
      <w:r w:rsidRPr="00106D8E">
        <w:rPr>
          <w:rFonts w:ascii="Arial" w:eastAsia="Times New Roman" w:hAnsi="Arial" w:cs="Arial"/>
          <w:sz w:val="20"/>
          <w:szCs w:val="20"/>
          <w:lang w:val="vi-VN"/>
        </w:rPr>
        <w:lastRenderedPageBreak/>
        <w:t xml:space="preserve">4. Other activities of Supervisory Board (if any): </w:t>
      </w:r>
    </w:p>
    <w:p w:rsidR="00106D8E" w:rsidRPr="00106D8E" w:rsidRDefault="00106D8E" w:rsidP="00106D8E">
      <w:pPr>
        <w:tabs>
          <w:tab w:val="num" w:pos="720"/>
        </w:tabs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vi-VN"/>
        </w:rPr>
      </w:pPr>
      <w:r w:rsidRPr="00106D8E">
        <w:rPr>
          <w:rFonts w:ascii="Arial" w:hAnsi="Arial" w:cs="Arial"/>
          <w:b/>
          <w:sz w:val="20"/>
          <w:szCs w:val="20"/>
          <w:lang w:val="vi-VN"/>
        </w:rPr>
        <w:t>IV. Training on corporate governance: None</w:t>
      </w:r>
    </w:p>
    <w:p w:rsidR="00106D8E" w:rsidRPr="00106D8E" w:rsidRDefault="00106D8E" w:rsidP="00106D8E">
      <w:pPr>
        <w:tabs>
          <w:tab w:val="num" w:pos="720"/>
        </w:tabs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vi-VN"/>
        </w:rPr>
      </w:pPr>
      <w:r w:rsidRPr="00106D8E">
        <w:rPr>
          <w:rFonts w:ascii="Arial" w:hAnsi="Arial" w:cs="Arial"/>
          <w:b/>
          <w:sz w:val="20"/>
          <w:szCs w:val="20"/>
          <w:lang w:val="vi-VN"/>
        </w:rPr>
        <w:t>V. List of affiliated persons of the public company as specified in clause 34, Article 6 of the Securities Law and transactions of affiliated persons of the Company with the Company</w:t>
      </w:r>
    </w:p>
    <w:p w:rsidR="00106D8E" w:rsidRPr="00106D8E" w:rsidRDefault="00106D8E" w:rsidP="00106D8E">
      <w:pPr>
        <w:tabs>
          <w:tab w:val="num" w:pos="720"/>
        </w:tabs>
        <w:spacing w:after="160" w:line="360" w:lineRule="auto"/>
        <w:jc w:val="both"/>
        <w:rPr>
          <w:rFonts w:ascii="Arial" w:hAnsi="Arial" w:cs="Arial"/>
          <w:sz w:val="20"/>
          <w:szCs w:val="20"/>
          <w:lang w:val="vi-VN"/>
        </w:rPr>
      </w:pPr>
      <w:r w:rsidRPr="00106D8E">
        <w:rPr>
          <w:rFonts w:ascii="Arial" w:hAnsi="Arial" w:cs="Arial"/>
          <w:sz w:val="20"/>
          <w:szCs w:val="20"/>
          <w:lang w:val="vi-VN"/>
        </w:rPr>
        <w:t>1. List of connected persons of the Company</w:t>
      </w:r>
    </w:p>
    <w:p w:rsidR="002F17C4" w:rsidRPr="003C21E6" w:rsidRDefault="00106D8E" w:rsidP="003C21E6">
      <w:pPr>
        <w:tabs>
          <w:tab w:val="num" w:pos="720"/>
        </w:tabs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06D8E">
        <w:rPr>
          <w:rFonts w:ascii="Arial" w:hAnsi="Arial" w:cs="Arial"/>
          <w:sz w:val="20"/>
          <w:szCs w:val="20"/>
          <w:lang w:val="vi-VN"/>
        </w:rPr>
        <w:t xml:space="preserve">2. Transactions between the Company and connected persons of the Company; or between the Company and major shareholders, PDMRs, </w:t>
      </w:r>
      <w:r w:rsidR="008E4180">
        <w:rPr>
          <w:rFonts w:ascii="Arial" w:hAnsi="Arial" w:cs="Arial"/>
          <w:sz w:val="20"/>
          <w:szCs w:val="20"/>
          <w:lang w:val="vi-VN"/>
        </w:rPr>
        <w:t xml:space="preserve">connected persons of PDMRs: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"/>
        <w:gridCol w:w="3288"/>
        <w:gridCol w:w="1701"/>
        <w:gridCol w:w="1842"/>
        <w:gridCol w:w="2127"/>
      </w:tblGrid>
      <w:tr w:rsidR="00671E90" w:rsidRPr="00D7266E" w:rsidTr="003C21E6">
        <w:tc>
          <w:tcPr>
            <w:tcW w:w="648" w:type="dxa"/>
          </w:tcPr>
          <w:p w:rsidR="00671E90" w:rsidRPr="00D7266E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88" w:type="dxa"/>
          </w:tcPr>
          <w:p w:rsidR="00671E90" w:rsidRPr="00D7266E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Connected parties</w:t>
            </w:r>
          </w:p>
        </w:tc>
        <w:tc>
          <w:tcPr>
            <w:tcW w:w="1701" w:type="dxa"/>
          </w:tcPr>
          <w:p w:rsidR="00671E90" w:rsidRPr="00D7266E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Relation with IBSC</w:t>
            </w:r>
          </w:p>
        </w:tc>
        <w:tc>
          <w:tcPr>
            <w:tcW w:w="1842" w:type="dxa"/>
          </w:tcPr>
          <w:p w:rsidR="00671E90" w:rsidRPr="00D7266E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127" w:type="dxa"/>
          </w:tcPr>
          <w:p w:rsidR="00671E90" w:rsidRPr="00D7266E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671E90" w:rsidRPr="00D7266E" w:rsidTr="003C21E6">
        <w:tc>
          <w:tcPr>
            <w:tcW w:w="648" w:type="dxa"/>
          </w:tcPr>
          <w:p w:rsidR="00671E90" w:rsidRPr="00D7266E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8" w:type="dxa"/>
          </w:tcPr>
          <w:p w:rsidR="00671E90" w:rsidRPr="00D7266E" w:rsidRDefault="00671E90" w:rsidP="00671E90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FTG Vietnam Joint Stock Company</w:t>
            </w:r>
          </w:p>
          <w:p w:rsidR="00671E90" w:rsidRPr="00D7266E" w:rsidRDefault="00671E90" w:rsidP="00671E90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Fee for securities depository </w:t>
            </w:r>
          </w:p>
        </w:tc>
        <w:tc>
          <w:tcPr>
            <w:tcW w:w="1701" w:type="dxa"/>
          </w:tcPr>
          <w:p w:rsidR="00671E90" w:rsidRPr="00D7266E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shareholder</w:t>
            </w:r>
          </w:p>
        </w:tc>
        <w:tc>
          <w:tcPr>
            <w:tcW w:w="1842" w:type="dxa"/>
          </w:tcPr>
          <w:p w:rsidR="00671E90" w:rsidRPr="00D7266E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71E90" w:rsidRPr="00D7266E" w:rsidRDefault="003C21E6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72,066,395</w:t>
            </w:r>
          </w:p>
          <w:p w:rsidR="00671E90" w:rsidRPr="00D7266E" w:rsidRDefault="00671E90" w:rsidP="00671E90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71E90" w:rsidRPr="00D7266E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E90" w:rsidRPr="00D7266E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71E90" w:rsidRPr="00D7266E" w:rsidTr="008E4180">
        <w:trPr>
          <w:trHeight w:val="503"/>
        </w:trPr>
        <w:tc>
          <w:tcPr>
            <w:tcW w:w="648" w:type="dxa"/>
          </w:tcPr>
          <w:p w:rsidR="00671E90" w:rsidRPr="00D7266E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</w:tcPr>
          <w:p w:rsidR="00671E90" w:rsidRPr="00D7266E" w:rsidRDefault="00671E90" w:rsidP="00671E90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671E90" w:rsidRPr="00D7266E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1E90" w:rsidRPr="00D7266E" w:rsidRDefault="003C21E6" w:rsidP="00671E90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72,066,395</w:t>
            </w:r>
          </w:p>
          <w:p w:rsidR="00671E90" w:rsidRPr="00D7266E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E90" w:rsidRPr="00D7266E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123FE" w:rsidRPr="00D7266E" w:rsidRDefault="005123FE" w:rsidP="002F17C4">
      <w:pPr>
        <w:rPr>
          <w:rFonts w:ascii="Arial" w:eastAsia="Times New Roman" w:hAnsi="Arial" w:cs="Arial"/>
          <w:sz w:val="20"/>
          <w:szCs w:val="20"/>
        </w:rPr>
      </w:pPr>
    </w:p>
    <w:p w:rsidR="003C21E6" w:rsidRPr="00106D8E" w:rsidRDefault="003C21E6" w:rsidP="003C21E6">
      <w:pPr>
        <w:tabs>
          <w:tab w:val="num" w:pos="720"/>
        </w:tabs>
        <w:spacing w:after="160" w:line="360" w:lineRule="auto"/>
        <w:jc w:val="both"/>
        <w:rPr>
          <w:rFonts w:ascii="Arial" w:hAnsi="Arial" w:cs="Arial"/>
          <w:sz w:val="20"/>
          <w:szCs w:val="20"/>
          <w:lang w:val="vi-VN"/>
        </w:rPr>
      </w:pPr>
      <w:r w:rsidRPr="00106D8E">
        <w:rPr>
          <w:rFonts w:ascii="Arial" w:hAnsi="Arial" w:cs="Arial"/>
          <w:sz w:val="20"/>
          <w:szCs w:val="20"/>
          <w:lang w:val="vi-VN"/>
        </w:rPr>
        <w:t>3. Transactions between PDMRs of the listing company, connected persons of PDMRs and Subsidiaries, the companies controlled by the listing company: None</w:t>
      </w:r>
    </w:p>
    <w:p w:rsidR="003C21E6" w:rsidRPr="00106D8E" w:rsidRDefault="003C21E6" w:rsidP="003C21E6">
      <w:pPr>
        <w:tabs>
          <w:tab w:val="num" w:pos="720"/>
        </w:tabs>
        <w:spacing w:after="160" w:line="360" w:lineRule="auto"/>
        <w:jc w:val="both"/>
        <w:rPr>
          <w:rFonts w:ascii="Arial" w:hAnsi="Arial" w:cs="Arial"/>
          <w:sz w:val="20"/>
          <w:szCs w:val="20"/>
          <w:lang w:val="vi-VN"/>
        </w:rPr>
      </w:pPr>
      <w:r w:rsidRPr="00106D8E">
        <w:rPr>
          <w:rFonts w:ascii="Arial" w:hAnsi="Arial" w:cs="Arial"/>
          <w:sz w:val="20"/>
          <w:szCs w:val="20"/>
          <w:lang w:val="vi-VN"/>
        </w:rPr>
        <w:t>4. Transactions between the Company and other partners</w:t>
      </w:r>
    </w:p>
    <w:p w:rsidR="002F17C4" w:rsidRPr="00D7266E" w:rsidRDefault="002F17C4" w:rsidP="002F17C4">
      <w:pPr>
        <w:shd w:val="clear" w:color="auto" w:fill="FFFFFF"/>
        <w:spacing w:before="120" w:after="120" w:line="36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iCs/>
          <w:color w:val="000000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489"/>
        <w:gridCol w:w="1784"/>
        <w:gridCol w:w="1560"/>
        <w:gridCol w:w="1577"/>
        <w:gridCol w:w="1527"/>
      </w:tblGrid>
      <w:tr w:rsidR="002F17C4" w:rsidRPr="00D7266E" w:rsidTr="002F17C4">
        <w:tc>
          <w:tcPr>
            <w:tcW w:w="648" w:type="dxa"/>
          </w:tcPr>
          <w:p w:rsidR="002F17C4" w:rsidRPr="00D7266E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44" w:type="dxa"/>
          </w:tcPr>
          <w:p w:rsidR="002F17C4" w:rsidRPr="00D7266E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Connected parties</w:t>
            </w:r>
          </w:p>
        </w:tc>
        <w:tc>
          <w:tcPr>
            <w:tcW w:w="1596" w:type="dxa"/>
          </w:tcPr>
          <w:p w:rsidR="002F17C4" w:rsidRPr="00D7266E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Relation with IBSC</w:t>
            </w:r>
          </w:p>
        </w:tc>
        <w:tc>
          <w:tcPr>
            <w:tcW w:w="1596" w:type="dxa"/>
          </w:tcPr>
          <w:p w:rsidR="002F17C4" w:rsidRPr="00D7266E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596" w:type="dxa"/>
          </w:tcPr>
          <w:p w:rsidR="002F17C4" w:rsidRPr="00D7266E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Board Resolution No.</w:t>
            </w:r>
            <w:r w:rsidR="008E41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General Mandate No.</w:t>
            </w:r>
          </w:p>
        </w:tc>
        <w:tc>
          <w:tcPr>
            <w:tcW w:w="1596" w:type="dxa"/>
          </w:tcPr>
          <w:p w:rsidR="002F17C4" w:rsidRPr="00D7266E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2F17C4" w:rsidRPr="00D7266E" w:rsidTr="002F17C4">
        <w:tc>
          <w:tcPr>
            <w:tcW w:w="648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 Electrical Equipment Joint Stock Corporation</w:t>
            </w:r>
          </w:p>
          <w:p w:rsidR="002F17C4" w:rsidRPr="00D7266E" w:rsidRDefault="002F17C4" w:rsidP="002F17C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Fee for securities </w:t>
            </w: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trading </w:t>
            </w:r>
          </w:p>
          <w:p w:rsidR="002F17C4" w:rsidRPr="00D7266E" w:rsidRDefault="002F17C4" w:rsidP="002F17C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Fee for securities depository </w:t>
            </w:r>
          </w:p>
          <w:p w:rsidR="002F17C4" w:rsidRPr="00D7266E" w:rsidRDefault="002F17C4" w:rsidP="002F17C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frees </w:t>
            </w:r>
          </w:p>
        </w:tc>
        <w:tc>
          <w:tcPr>
            <w:tcW w:w="1596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Member of Board of Directors, </w:t>
            </w:r>
            <w:r w:rsidR="003C21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Manager are</w:t>
            </w: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connected </w:t>
            </w: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person</w:t>
            </w:r>
            <w:r w:rsidR="003C21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member of Board of Directors</w:t>
            </w:r>
            <w:r w:rsidR="008E4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Manager of IBSC</w:t>
            </w:r>
          </w:p>
        </w:tc>
        <w:tc>
          <w:tcPr>
            <w:tcW w:w="1596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5,279,068</w:t>
            </w:r>
          </w:p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33,127</w:t>
            </w:r>
          </w:p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62,114</w:t>
            </w:r>
          </w:p>
        </w:tc>
        <w:tc>
          <w:tcPr>
            <w:tcW w:w="1596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2F17C4" w:rsidRPr="00D7266E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F17C4" w:rsidRPr="00D7266E" w:rsidTr="002F17C4">
        <w:tc>
          <w:tcPr>
            <w:tcW w:w="648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96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5,374,309</w:t>
            </w:r>
          </w:p>
        </w:tc>
        <w:tc>
          <w:tcPr>
            <w:tcW w:w="1596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2F17C4" w:rsidRPr="00D7266E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F17C4" w:rsidRPr="00D7266E" w:rsidRDefault="002F17C4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21E6" w:rsidRPr="003C21E6" w:rsidRDefault="003C21E6" w:rsidP="003C21E6">
      <w:pPr>
        <w:tabs>
          <w:tab w:val="num" w:pos="720"/>
        </w:tabs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vi-VN"/>
        </w:rPr>
      </w:pPr>
      <w:r w:rsidRPr="003C21E6">
        <w:rPr>
          <w:rFonts w:ascii="Arial" w:hAnsi="Arial" w:cs="Arial"/>
          <w:b/>
          <w:sz w:val="20"/>
          <w:szCs w:val="20"/>
          <w:lang w:val="vi-VN"/>
        </w:rPr>
        <w:t>VI. Share transactions of PDMRs and PDMRs’ connected persons</w:t>
      </w:r>
      <w:r w:rsidR="008E4180">
        <w:rPr>
          <w:rFonts w:ascii="Arial" w:hAnsi="Arial" w:cs="Arial"/>
          <w:b/>
          <w:sz w:val="20"/>
          <w:szCs w:val="20"/>
          <w:lang w:val="vi-VN"/>
        </w:rPr>
        <w:t>/</w:t>
      </w:r>
      <w:r w:rsidRPr="003C21E6">
        <w:rPr>
          <w:rFonts w:ascii="Arial" w:hAnsi="Arial" w:cs="Arial"/>
          <w:b/>
          <w:sz w:val="20"/>
          <w:szCs w:val="20"/>
          <w:lang w:val="vi-VN"/>
        </w:rPr>
        <w:t>institutions</w:t>
      </w:r>
    </w:p>
    <w:p w:rsidR="003C21E6" w:rsidRPr="003C21E6" w:rsidRDefault="003C21E6" w:rsidP="003C21E6">
      <w:pPr>
        <w:tabs>
          <w:tab w:val="num" w:pos="720"/>
        </w:tabs>
        <w:spacing w:after="160" w:line="360" w:lineRule="auto"/>
        <w:jc w:val="both"/>
        <w:rPr>
          <w:rFonts w:ascii="Arial" w:hAnsi="Arial" w:cs="Arial"/>
          <w:sz w:val="20"/>
          <w:szCs w:val="20"/>
          <w:lang w:val="vi-VN"/>
        </w:rPr>
      </w:pPr>
      <w:r w:rsidRPr="003C21E6">
        <w:rPr>
          <w:rFonts w:ascii="Arial" w:hAnsi="Arial" w:cs="Arial"/>
          <w:sz w:val="20"/>
          <w:szCs w:val="20"/>
          <w:lang w:val="vi-VN"/>
        </w:rPr>
        <w:t>1. List of PDMRs and connected persons</w:t>
      </w:r>
    </w:p>
    <w:p w:rsidR="005123FE" w:rsidRPr="003C21E6" w:rsidRDefault="003C21E6" w:rsidP="003C21E6">
      <w:pPr>
        <w:tabs>
          <w:tab w:val="num" w:pos="720"/>
        </w:tabs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3C21E6">
        <w:rPr>
          <w:rFonts w:ascii="Arial" w:hAnsi="Arial" w:cs="Arial"/>
          <w:sz w:val="20"/>
          <w:szCs w:val="20"/>
          <w:lang w:val="vi-VN"/>
        </w:rPr>
        <w:t>2. Transactions of PDMRs and connected persons</w:t>
      </w:r>
      <w:r w:rsidR="008E4180">
        <w:rPr>
          <w:rFonts w:ascii="Arial" w:hAnsi="Arial" w:cs="Arial"/>
          <w:sz w:val="20"/>
          <w:szCs w:val="20"/>
          <w:lang w:val="vi-VN"/>
        </w:rPr>
        <w:t>/</w:t>
      </w:r>
      <w:r w:rsidRPr="003C21E6">
        <w:rPr>
          <w:rFonts w:ascii="Arial" w:hAnsi="Arial" w:cs="Arial"/>
          <w:sz w:val="20"/>
          <w:szCs w:val="20"/>
          <w:lang w:val="vi-VN"/>
        </w:rPr>
        <w:t>institutions for shares of the listing company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13"/>
        <w:gridCol w:w="1352"/>
        <w:gridCol w:w="1418"/>
        <w:gridCol w:w="912"/>
        <w:gridCol w:w="1356"/>
        <w:gridCol w:w="1061"/>
        <w:gridCol w:w="1759"/>
      </w:tblGrid>
      <w:tr w:rsidR="005123FE" w:rsidRPr="00D7266E" w:rsidTr="008E4180">
        <w:trPr>
          <w:cantSplit/>
          <w:trHeight w:val="20"/>
          <w:tblCellSpacing w:w="0" w:type="dxa"/>
        </w:trPr>
        <w:tc>
          <w:tcPr>
            <w:tcW w:w="5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Transaction executor</w:t>
            </w:r>
          </w:p>
        </w:tc>
        <w:tc>
          <w:tcPr>
            <w:tcW w:w="135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Relationship with internal person</w:t>
            </w:r>
          </w:p>
        </w:tc>
        <w:tc>
          <w:tcPr>
            <w:tcW w:w="2330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Number of shares owned at the beginning of the period</w:t>
            </w:r>
          </w:p>
        </w:tc>
        <w:tc>
          <w:tcPr>
            <w:tcW w:w="2417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Number of shares owned at the end of the period</w:t>
            </w:r>
          </w:p>
        </w:tc>
        <w:tc>
          <w:tcPr>
            <w:tcW w:w="1759" w:type="dxa"/>
            <w:vMerge w:val="restar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Reasons for increase,decrease (purchase, sale, switch, reward...)</w:t>
            </w:r>
          </w:p>
        </w:tc>
      </w:tr>
      <w:tr w:rsidR="005123FE" w:rsidRPr="00D7266E" w:rsidTr="008E4180">
        <w:trPr>
          <w:cantSplit/>
          <w:trHeight w:val="1553"/>
          <w:tblCellSpacing w:w="0" w:type="dxa"/>
        </w:trPr>
        <w:tc>
          <w:tcPr>
            <w:tcW w:w="5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5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Number of shares</w:t>
            </w:r>
          </w:p>
        </w:tc>
        <w:tc>
          <w:tcPr>
            <w:tcW w:w="91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13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Number of shares</w:t>
            </w:r>
          </w:p>
        </w:tc>
        <w:tc>
          <w:tcPr>
            <w:tcW w:w="106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1759" w:type="dxa"/>
            <w:vMerge/>
            <w:shd w:val="clear" w:color="auto" w:fill="FFFFFF"/>
            <w:vAlign w:val="center"/>
            <w:hideMark/>
          </w:tcPr>
          <w:p w:rsidR="005123FE" w:rsidRPr="00D7266E" w:rsidRDefault="005123FE" w:rsidP="00F01D05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17C4" w:rsidRPr="00D7266E" w:rsidTr="008E4180">
        <w:trPr>
          <w:cantSplit/>
          <w:trHeight w:val="20"/>
          <w:tblCellSpacing w:w="0" w:type="dxa"/>
        </w:trPr>
        <w:tc>
          <w:tcPr>
            <w:tcW w:w="5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786AC9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123FE"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786AC9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FTG Vietnam Joint Stock Company</w:t>
            </w:r>
            <w:r w:rsidR="005123FE"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5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4D63BD"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shareholder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2F17C4"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17,395,429</w:t>
            </w:r>
          </w:p>
        </w:tc>
        <w:tc>
          <w:tcPr>
            <w:tcW w:w="91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21.48%</w:t>
            </w:r>
            <w:r w:rsidR="005123FE"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20,004,743</w:t>
            </w:r>
            <w:r w:rsidR="005123FE"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6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17.23%</w:t>
            </w:r>
            <w:r w:rsidR="005123FE"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  <w:r w:rsidR="003C21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123FE" w:rsidRPr="00D7266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2F17C4" w:rsidRPr="00D7266E" w:rsidTr="008E4180">
        <w:trPr>
          <w:cantSplit/>
          <w:trHeight w:val="20"/>
          <w:tblCellSpacing w:w="0" w:type="dxa"/>
        </w:trPr>
        <w:tc>
          <w:tcPr>
            <w:tcW w:w="5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Nguyen Thi Tuyet </w:t>
            </w:r>
          </w:p>
        </w:tc>
        <w:tc>
          <w:tcPr>
            <w:tcW w:w="135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Chair of Board of Directors cum General Manager of the Company 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4,620,000</w:t>
            </w:r>
          </w:p>
        </w:tc>
        <w:tc>
          <w:tcPr>
            <w:tcW w:w="91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5.71%</w:t>
            </w:r>
            <w:bookmarkStart w:id="0" w:name="_GoBack"/>
            <w:bookmarkEnd w:id="0"/>
          </w:p>
        </w:tc>
        <w:tc>
          <w:tcPr>
            <w:tcW w:w="13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5,313,000</w:t>
            </w:r>
          </w:p>
        </w:tc>
        <w:tc>
          <w:tcPr>
            <w:tcW w:w="106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4.58%</w:t>
            </w:r>
          </w:p>
        </w:tc>
        <w:tc>
          <w:tcPr>
            <w:tcW w:w="17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4D63BD">
            <w:pPr>
              <w:jc w:val="center"/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  <w:r w:rsidR="003C21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F17C4" w:rsidRPr="00D7266E" w:rsidTr="008E4180">
        <w:trPr>
          <w:cantSplit/>
          <w:trHeight w:val="20"/>
          <w:tblCellSpacing w:w="0" w:type="dxa"/>
        </w:trPr>
        <w:tc>
          <w:tcPr>
            <w:tcW w:w="5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Nguyen Tuan Dung </w:t>
            </w:r>
          </w:p>
        </w:tc>
        <w:tc>
          <w:tcPr>
            <w:tcW w:w="135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34,650</w:t>
            </w:r>
          </w:p>
        </w:tc>
        <w:tc>
          <w:tcPr>
            <w:tcW w:w="91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13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39,847</w:t>
            </w:r>
          </w:p>
        </w:tc>
        <w:tc>
          <w:tcPr>
            <w:tcW w:w="106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0.034%</w:t>
            </w:r>
          </w:p>
        </w:tc>
        <w:tc>
          <w:tcPr>
            <w:tcW w:w="17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4D63BD">
            <w:pPr>
              <w:jc w:val="center"/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  <w:r w:rsidR="003C21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F17C4" w:rsidRPr="00D7266E" w:rsidTr="008E4180">
        <w:trPr>
          <w:cantSplit/>
          <w:trHeight w:val="20"/>
          <w:tblCellSpacing w:w="0" w:type="dxa"/>
        </w:trPr>
        <w:tc>
          <w:tcPr>
            <w:tcW w:w="5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 Thi Hong Ha </w:t>
            </w:r>
          </w:p>
        </w:tc>
        <w:tc>
          <w:tcPr>
            <w:tcW w:w="135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53,361</w:t>
            </w:r>
          </w:p>
        </w:tc>
        <w:tc>
          <w:tcPr>
            <w:tcW w:w="91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13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61,365</w:t>
            </w:r>
          </w:p>
        </w:tc>
        <w:tc>
          <w:tcPr>
            <w:tcW w:w="106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0.053%</w:t>
            </w:r>
          </w:p>
        </w:tc>
        <w:tc>
          <w:tcPr>
            <w:tcW w:w="17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4D63BD">
            <w:pPr>
              <w:jc w:val="center"/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  <w:r w:rsidR="003C21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F17C4" w:rsidRPr="00D7266E" w:rsidTr="008E4180">
        <w:trPr>
          <w:cantSplit/>
          <w:trHeight w:val="20"/>
          <w:tblCellSpacing w:w="0" w:type="dxa"/>
        </w:trPr>
        <w:tc>
          <w:tcPr>
            <w:tcW w:w="5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Ngoc Dinh</w:t>
            </w:r>
          </w:p>
        </w:tc>
        <w:tc>
          <w:tcPr>
            <w:tcW w:w="135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Vice- General Manager 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1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0.0005%</w:t>
            </w:r>
          </w:p>
        </w:tc>
        <w:tc>
          <w:tcPr>
            <w:tcW w:w="13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6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0.00037%</w:t>
            </w:r>
          </w:p>
        </w:tc>
        <w:tc>
          <w:tcPr>
            <w:tcW w:w="17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4D63BD">
            <w:pPr>
              <w:jc w:val="center"/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  <w:r w:rsidR="003C21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F17C4" w:rsidRPr="00D7266E" w:rsidTr="008E4180">
        <w:trPr>
          <w:cantSplit/>
          <w:trHeight w:val="20"/>
          <w:tblCellSpacing w:w="0" w:type="dxa"/>
        </w:trPr>
        <w:tc>
          <w:tcPr>
            <w:tcW w:w="5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Nguyen Hong Son</w:t>
            </w:r>
          </w:p>
        </w:tc>
        <w:tc>
          <w:tcPr>
            <w:tcW w:w="135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Husband of Mrs. Doan Thi Huong – Member of Board of Supervisors 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1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0.00108%</w:t>
            </w:r>
          </w:p>
        </w:tc>
        <w:tc>
          <w:tcPr>
            <w:tcW w:w="135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106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0.00087%</w:t>
            </w:r>
          </w:p>
        </w:tc>
        <w:tc>
          <w:tcPr>
            <w:tcW w:w="175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D7266E" w:rsidRDefault="004D63BD" w:rsidP="004D63BD">
            <w:pPr>
              <w:jc w:val="center"/>
            </w:pPr>
            <w:r w:rsidRPr="00D72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  <w:r w:rsidR="003C21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</w:tbl>
    <w:p w:rsidR="005123FE" w:rsidRPr="00D7266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266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VII. Other signi</w:t>
      </w:r>
      <w:r w:rsidRPr="00D7266E">
        <w:rPr>
          <w:rFonts w:ascii="Arial" w:eastAsia="Times New Roman" w:hAnsi="Arial" w:cs="Arial"/>
          <w:b/>
          <w:bCs/>
          <w:color w:val="000000"/>
          <w:sz w:val="20"/>
          <w:szCs w:val="20"/>
        </w:rPr>
        <w:t>fi</w:t>
      </w:r>
      <w:r w:rsidRPr="00D7266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cant issues</w:t>
      </w:r>
      <w:r w:rsidRPr="00D7266E">
        <w:rPr>
          <w:rFonts w:ascii="Arial" w:eastAsia="Times New Roman" w:hAnsi="Arial" w:cs="Arial"/>
          <w:b/>
          <w:bCs/>
          <w:color w:val="000000"/>
          <w:sz w:val="20"/>
          <w:szCs w:val="20"/>
        </w:rPr>
        <w:t>: None</w:t>
      </w:r>
    </w:p>
    <w:p w:rsidR="005123FE" w:rsidRPr="00D7266E" w:rsidRDefault="005123FE" w:rsidP="005123FE"/>
    <w:p w:rsidR="005123FE" w:rsidRPr="00D7266E" w:rsidRDefault="005123FE" w:rsidP="005123FE"/>
    <w:p w:rsidR="00450AA2" w:rsidRPr="00D7266E" w:rsidRDefault="00450AA2"/>
    <w:sectPr w:rsidR="00450AA2" w:rsidRPr="00D7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542B"/>
    <w:multiLevelType w:val="hybridMultilevel"/>
    <w:tmpl w:val="2804939A"/>
    <w:lvl w:ilvl="0" w:tplc="334A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69A"/>
    <w:multiLevelType w:val="hybridMultilevel"/>
    <w:tmpl w:val="5F90A8E6"/>
    <w:lvl w:ilvl="0" w:tplc="B24465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FE"/>
    <w:rsid w:val="00106D8E"/>
    <w:rsid w:val="001441C2"/>
    <w:rsid w:val="00170825"/>
    <w:rsid w:val="00243C5E"/>
    <w:rsid w:val="002C5AD2"/>
    <w:rsid w:val="002F17C4"/>
    <w:rsid w:val="003C21E6"/>
    <w:rsid w:val="0042684F"/>
    <w:rsid w:val="00450AA2"/>
    <w:rsid w:val="004D63BD"/>
    <w:rsid w:val="005123FE"/>
    <w:rsid w:val="005E10D2"/>
    <w:rsid w:val="00671E90"/>
    <w:rsid w:val="006A4455"/>
    <w:rsid w:val="00786AC9"/>
    <w:rsid w:val="008E4180"/>
    <w:rsid w:val="009415AE"/>
    <w:rsid w:val="00AA410D"/>
    <w:rsid w:val="00D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3372F-FB91-4F39-9318-D86EF578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bs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Ngọc Anh</dc:creator>
  <cp:lastModifiedBy>Mai Van Hung</cp:lastModifiedBy>
  <cp:revision>11</cp:revision>
  <dcterms:created xsi:type="dcterms:W3CDTF">2020-02-04T04:25:00Z</dcterms:created>
  <dcterms:modified xsi:type="dcterms:W3CDTF">2020-02-09T08:59:00Z</dcterms:modified>
</cp:coreProperties>
</file>